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5D65C43D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>№</w:t>
            </w:r>
            <w:r w:rsidR="008D2C9E">
              <w:rPr>
                <w:rFonts w:cs="Times New Roman"/>
                <w:b/>
                <w:lang w:val="kk-KZ"/>
              </w:rPr>
              <w:t>3</w:t>
            </w:r>
            <w:r w:rsidR="00807C23">
              <w:rPr>
                <w:rFonts w:cs="Times New Roman"/>
                <w:b/>
                <w:lang w:val="kk-KZ"/>
              </w:rPr>
              <w:t>1</w:t>
            </w:r>
            <w:r w:rsidR="00710A11">
              <w:rPr>
                <w:rFonts w:cs="Times New Roman"/>
                <w:b/>
                <w:lang w:val="kk-KZ"/>
              </w:rPr>
              <w:t xml:space="preserve">/23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6C021182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8D2C9E">
              <w:rPr>
                <w:rFonts w:ascii="Times New Roman" w:hAnsi="Times New Roman"/>
                <w:lang w:val="kk-KZ"/>
              </w:rPr>
              <w:t>2</w:t>
            </w:r>
            <w:r w:rsidR="00807C23">
              <w:rPr>
                <w:rFonts w:ascii="Times New Roman" w:hAnsi="Times New Roman"/>
                <w:lang w:val="kk-KZ"/>
              </w:rPr>
              <w:t>7</w:t>
            </w:r>
            <w:r w:rsidRPr="002072FD">
              <w:rPr>
                <w:rFonts w:ascii="Times New Roman" w:hAnsi="Times New Roman"/>
              </w:rPr>
              <w:t>»</w:t>
            </w:r>
            <w:r w:rsidR="007F70E1">
              <w:rPr>
                <w:rFonts w:ascii="Times New Roman" w:hAnsi="Times New Roman"/>
                <w:lang w:val="kk-KZ"/>
              </w:rPr>
              <w:t xml:space="preserve"> қараша</w:t>
            </w:r>
            <w:r w:rsidR="00575641">
              <w:rPr>
                <w:rFonts w:ascii="Times New Roman" w:hAnsi="Times New Roman"/>
                <w:lang w:val="kk-KZ"/>
              </w:rPr>
              <w:t xml:space="preserve"> </w:t>
            </w:r>
            <w:r w:rsidR="00A47C76">
              <w:rPr>
                <w:rFonts w:ascii="Times New Roman" w:hAnsi="Times New Roman"/>
                <w:lang w:val="kk-KZ"/>
              </w:rPr>
              <w:t xml:space="preserve"> </w:t>
            </w:r>
            <w:r w:rsidRPr="002072F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1BC13A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No 110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</w:hyperlink>
          </w:p>
        </w:tc>
        <w:tc>
          <w:tcPr>
            <w:tcW w:w="4927" w:type="dxa"/>
          </w:tcPr>
          <w:p w14:paraId="39ED8056" w14:textId="17C824A7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710A11">
              <w:rPr>
                <w:rFonts w:cs="Times New Roman"/>
                <w:b/>
              </w:rPr>
              <w:t>№</w:t>
            </w:r>
            <w:r w:rsidR="008D2C9E">
              <w:rPr>
                <w:rFonts w:cs="Times New Roman"/>
                <w:b/>
                <w:lang w:val="kk-KZ"/>
              </w:rPr>
              <w:t>3</w:t>
            </w:r>
            <w:r w:rsidR="00807C23">
              <w:rPr>
                <w:rFonts w:cs="Times New Roman"/>
                <w:b/>
                <w:lang w:val="kk-KZ"/>
              </w:rPr>
              <w:t>1</w:t>
            </w:r>
            <w:r w:rsidR="00710A11">
              <w:rPr>
                <w:rFonts w:cs="Times New Roman"/>
                <w:b/>
              </w:rPr>
              <w:t>/23</w:t>
            </w:r>
            <w:r w:rsidRPr="002072FD">
              <w:rPr>
                <w:rFonts w:cs="Times New Roman"/>
                <w:b/>
              </w:rPr>
              <w:t xml:space="preserve"> о проведении </w:t>
            </w:r>
          </w:p>
          <w:p w14:paraId="67612806" w14:textId="509E60C9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B2762C">
              <w:rPr>
                <w:rFonts w:cs="Times New Roman"/>
                <w:b/>
                <w:lang w:val="kk-KZ"/>
              </w:rPr>
              <w:t>,медицинских</w:t>
            </w:r>
            <w:proofErr w:type="gramEnd"/>
            <w:r w:rsidR="00B2762C">
              <w:rPr>
                <w:rFonts w:cs="Times New Roman"/>
                <w:b/>
                <w:lang w:val="kk-KZ"/>
              </w:rPr>
              <w:t xml:space="preserve"> изделий</w:t>
            </w:r>
            <w:r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4B2A57C7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8D2C9E">
              <w:rPr>
                <w:rFonts w:cs="Times New Roman"/>
                <w:lang w:val="kk-KZ"/>
              </w:rPr>
              <w:t>2</w:t>
            </w:r>
            <w:r w:rsidR="00807C23">
              <w:rPr>
                <w:rFonts w:cs="Times New Roman"/>
                <w:lang w:val="kk-KZ"/>
              </w:rPr>
              <w:t>7</w:t>
            </w:r>
            <w:r w:rsidRPr="002072FD">
              <w:rPr>
                <w:rFonts w:cs="Times New Roman"/>
              </w:rPr>
              <w:t>»</w:t>
            </w:r>
            <w:r w:rsidR="007F70E1" w:rsidRPr="00EB4C40">
              <w:rPr>
                <w:rFonts w:cs="Times New Roman"/>
              </w:rPr>
              <w:t xml:space="preserve"> </w:t>
            </w:r>
            <w:r w:rsidR="007F70E1">
              <w:rPr>
                <w:rFonts w:cs="Times New Roman"/>
                <w:lang w:val="kk-KZ"/>
              </w:rPr>
              <w:t xml:space="preserve">ноября </w:t>
            </w:r>
            <w:r w:rsidR="00B9434F" w:rsidRPr="003245E2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t xml:space="preserve"> 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41CD9F46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="006D69D2" w:rsidRPr="006D69D2">
              <w:rPr>
                <w:rStyle w:val="s1"/>
              </w:rPr>
              <w:t>Приказ</w:t>
            </w:r>
            <w:r w:rsidR="009E1566">
              <w:rPr>
                <w:rStyle w:val="s1"/>
                <w:lang w:val="kk-KZ"/>
              </w:rPr>
              <w:t>ом</w:t>
            </w:r>
            <w:r w:rsidR="006D69D2" w:rsidRPr="006D69D2">
              <w:rPr>
                <w:rStyle w:val="s1"/>
              </w:rPr>
              <w:t xml:space="preserve"> Министра здравоохранения Республики Казахстан от 7 июня 2023 года № 110</w:t>
            </w:r>
            <w:r w:rsidRPr="002072FD">
              <w:rPr>
                <w:rStyle w:val="s1"/>
              </w:rPr>
              <w:t xml:space="preserve"> «</w:t>
            </w:r>
            <w:r w:rsidR="006D69D2" w:rsidRPr="006D69D2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уголовно-исполнительной(пенитенциарной) системы, за счет бюджетных средств и (или) в системе обязательного социального медицинского</w:t>
            </w:r>
            <w:r w:rsidR="006D69D2">
              <w:rPr>
                <w:rFonts w:cs="Times New Roman"/>
                <w:color w:val="000000"/>
                <w:lang w:val="kk-KZ"/>
              </w:rPr>
              <w:t xml:space="preserve"> </w:t>
            </w:r>
            <w:r w:rsidR="006D69D2" w:rsidRPr="006D69D2">
              <w:rPr>
                <w:rFonts w:cs="Times New Roman"/>
                <w:color w:val="000000"/>
              </w:rPr>
              <w:t>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"/>
        <w:gridCol w:w="1334"/>
        <w:gridCol w:w="3685"/>
        <w:gridCol w:w="992"/>
        <w:gridCol w:w="709"/>
        <w:gridCol w:w="1418"/>
        <w:gridCol w:w="1417"/>
      </w:tblGrid>
      <w:tr w:rsidR="00B2540C" w14:paraId="3B13330E" w14:textId="5D6B80B9" w:rsidTr="00CF2F29">
        <w:tc>
          <w:tcPr>
            <w:tcW w:w="652" w:type="dxa"/>
            <w:shd w:val="clear" w:color="000000" w:fill="FFFFFF"/>
            <w:vAlign w:val="center"/>
          </w:tcPr>
          <w:p w14:paraId="73F487A3" w14:textId="77777777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14:paraId="4F1F2803" w14:textId="77777777" w:rsidR="00B2540C" w:rsidRDefault="00B2540C" w:rsidP="00B2540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  <w:p w14:paraId="7503B64B" w14:textId="7025EE70" w:rsidR="00B2540C" w:rsidRPr="000E50BB" w:rsidRDefault="00B2540C" w:rsidP="00B2540C">
            <w:pPr>
              <w:rPr>
                <w:lang w:val="kk-KZ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2A755502" w14:textId="3A4FB494" w:rsidR="00B2540C" w:rsidRDefault="00B2540C" w:rsidP="00B2540C">
            <w:r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харктеристика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4AE7A5" w14:textId="774F27AD" w:rsidR="00B2540C" w:rsidRPr="00DE1965" w:rsidRDefault="00B2540C" w:rsidP="00B2540C">
            <w:pPr>
              <w:rPr>
                <w:lang w:val="kk-KZ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A58E71" w14:textId="32B2004D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56554C" w14:textId="71C2458A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3631D9" w14:textId="44F2A87B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B2540C" w14:paraId="5ED304BF" w14:textId="3A22EFE1" w:rsidTr="00CF2F29">
        <w:tc>
          <w:tcPr>
            <w:tcW w:w="652" w:type="dxa"/>
          </w:tcPr>
          <w:p w14:paraId="561FA838" w14:textId="0FBEC604" w:rsidR="00B2540C" w:rsidRPr="00A77BED" w:rsidRDefault="00B2540C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4" w:type="dxa"/>
          </w:tcPr>
          <w:p w14:paraId="17855120" w14:textId="1205BF03" w:rsidR="00B2540C" w:rsidRPr="00CF2F29" w:rsidRDefault="00CF2F29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Фторурацил</w:t>
            </w:r>
          </w:p>
        </w:tc>
        <w:tc>
          <w:tcPr>
            <w:tcW w:w="3685" w:type="dxa"/>
          </w:tcPr>
          <w:p w14:paraId="574511A9" w14:textId="65E88056" w:rsidR="00CF2F29" w:rsidRPr="00CF2F29" w:rsidRDefault="00CF2F29" w:rsidP="00CF2F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F2F29">
              <w:rPr>
                <w:sz w:val="20"/>
                <w:szCs w:val="20"/>
              </w:rPr>
              <w:t>Фторурацил</w:t>
            </w:r>
            <w:proofErr w:type="spellEnd"/>
            <w:r w:rsidRPr="00CF2F29">
              <w:rPr>
                <w:sz w:val="20"/>
                <w:szCs w:val="20"/>
              </w:rPr>
              <w:t xml:space="preserve"> ,</w:t>
            </w:r>
            <w:proofErr w:type="gramEnd"/>
            <w:r w:rsidRPr="00CF2F29">
              <w:rPr>
                <w:sz w:val="20"/>
                <w:szCs w:val="20"/>
              </w:rPr>
              <w:t xml:space="preserve"> раствор для</w:t>
            </w:r>
          </w:p>
          <w:p w14:paraId="60E51B5A" w14:textId="39EC47DE" w:rsidR="002F1E45" w:rsidRPr="002F1E45" w:rsidRDefault="00CF2F29" w:rsidP="00CF2F29">
            <w:pPr>
              <w:rPr>
                <w:sz w:val="20"/>
                <w:szCs w:val="20"/>
              </w:rPr>
            </w:pPr>
            <w:r w:rsidRPr="00CF2F29">
              <w:rPr>
                <w:sz w:val="20"/>
                <w:szCs w:val="20"/>
              </w:rPr>
              <w:t xml:space="preserve">внутривенного введения </w:t>
            </w:r>
            <w:r>
              <w:rPr>
                <w:sz w:val="20"/>
                <w:szCs w:val="20"/>
                <w:lang w:val="kk-KZ"/>
              </w:rPr>
              <w:t>1000</w:t>
            </w:r>
            <w:r w:rsidRPr="00CF2F29">
              <w:rPr>
                <w:sz w:val="20"/>
                <w:szCs w:val="20"/>
              </w:rPr>
              <w:t xml:space="preserve"> мг</w:t>
            </w:r>
          </w:p>
          <w:p w14:paraId="5057296E" w14:textId="14F31B80" w:rsidR="00807C23" w:rsidRPr="002F1E45" w:rsidRDefault="00807C23" w:rsidP="00807C23">
            <w:pPr>
              <w:rPr>
                <w:sz w:val="20"/>
                <w:szCs w:val="20"/>
              </w:rPr>
            </w:pPr>
          </w:p>
          <w:p w14:paraId="7085F7DD" w14:textId="327642DD" w:rsidR="00B2540C" w:rsidRPr="002F1E45" w:rsidRDefault="00B2540C" w:rsidP="002F1E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82BED0" w14:textId="01EAA22D" w:rsidR="00B2540C" w:rsidRDefault="00CF2F29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709" w:type="dxa"/>
          </w:tcPr>
          <w:p w14:paraId="58DF1032" w14:textId="4B39AC41" w:rsidR="00B2540C" w:rsidRPr="00CF2F29" w:rsidRDefault="00CF2F29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418" w:type="dxa"/>
          </w:tcPr>
          <w:p w14:paraId="007D37D1" w14:textId="09C63157" w:rsidR="00B2540C" w:rsidRDefault="00CF2F29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3171</w:t>
            </w:r>
            <w:r w:rsidR="00B2540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417" w:type="dxa"/>
          </w:tcPr>
          <w:p w14:paraId="69595E5C" w14:textId="1D99B8E3" w:rsidR="00B2540C" w:rsidRPr="00A06370" w:rsidRDefault="00CF2F29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634 308</w:t>
            </w:r>
            <w:r w:rsidR="00A06370">
              <w:rPr>
                <w:sz w:val="20"/>
                <w:szCs w:val="20"/>
              </w:rPr>
              <w:t>,00</w:t>
            </w:r>
          </w:p>
        </w:tc>
      </w:tr>
      <w:tr w:rsidR="00B2540C" w14:paraId="4547F94E" w14:textId="2485CC8F" w:rsidTr="00CF2F29">
        <w:tc>
          <w:tcPr>
            <w:tcW w:w="652" w:type="dxa"/>
          </w:tcPr>
          <w:p w14:paraId="476117EC" w14:textId="77777777" w:rsidR="00B2540C" w:rsidRDefault="00B2540C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</w:tcPr>
          <w:p w14:paraId="72DFA1C8" w14:textId="13ABE9B3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685" w:type="dxa"/>
          </w:tcPr>
          <w:p w14:paraId="084E68D3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8212C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FBD6982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0854F81" w14:textId="6DC850EA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3C055B52" w14:textId="2DD07EDD" w:rsidR="00B2540C" w:rsidRDefault="00CF2F29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634 308</w:t>
            </w:r>
            <w:r w:rsidR="00A06370">
              <w:rPr>
                <w:b/>
                <w:bCs/>
                <w:sz w:val="20"/>
                <w:szCs w:val="20"/>
                <w:lang w:val="kk-KZ"/>
              </w:rPr>
              <w:t>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653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4EFAD91C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CF2F29">
              <w:rPr>
                <w:rFonts w:cs="Times New Roman"/>
                <w:b/>
                <w:bCs/>
                <w:lang w:val="kk-KZ"/>
              </w:rPr>
              <w:t>634 308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CF2F29">
              <w:rPr>
                <w:rFonts w:cs="Times New Roman"/>
                <w:lang w:val="kk-KZ"/>
              </w:rPr>
              <w:t>Алты</w:t>
            </w:r>
            <w:r w:rsidR="00A06370">
              <w:rPr>
                <w:rFonts w:cs="Times New Roman"/>
                <w:lang w:val="kk-KZ"/>
              </w:rPr>
              <w:t xml:space="preserve"> жүз</w:t>
            </w:r>
            <w:r w:rsidR="00CF2F29">
              <w:rPr>
                <w:rFonts w:cs="Times New Roman"/>
                <w:lang w:val="kk-KZ"/>
              </w:rPr>
              <w:t xml:space="preserve"> отыз төрт</w:t>
            </w:r>
            <w:r w:rsidR="00A06370">
              <w:rPr>
                <w:rFonts w:cs="Times New Roman"/>
                <w:lang w:val="kk-KZ"/>
              </w:rPr>
              <w:t xml:space="preserve"> мың</w:t>
            </w:r>
            <w:r w:rsidR="00CF2F29">
              <w:rPr>
                <w:rFonts w:cs="Times New Roman"/>
                <w:lang w:val="kk-KZ"/>
              </w:rPr>
              <w:t xml:space="preserve"> үш жүз </w:t>
            </w:r>
            <w:proofErr w:type="gramStart"/>
            <w:r w:rsidR="00CF2F29">
              <w:rPr>
                <w:rFonts w:cs="Times New Roman"/>
                <w:lang w:val="kk-KZ"/>
              </w:rPr>
              <w:t>сегіз</w:t>
            </w:r>
            <w:r w:rsidR="00A06370"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2660D495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807C23">
              <w:rPr>
                <w:rFonts w:cs="Times New Roman"/>
                <w:lang w:val="kk-KZ"/>
              </w:rPr>
              <w:t>04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807C23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6028A7C1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807C23">
              <w:rPr>
                <w:rFonts w:cs="Times New Roman"/>
                <w:lang w:val="kk-KZ"/>
              </w:rPr>
              <w:t>04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807C23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EA2100">
              <w:rPr>
                <w:rFonts w:cs="Times New Roman"/>
              </w:rPr>
              <w:t>Медеу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09B66B0E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="00535DC6" w:rsidRPr="00535DC6">
              <w:rPr>
                <w:rFonts w:cs="Times New Roman"/>
              </w:rPr>
              <w:t>Конвертте</w:t>
            </w:r>
            <w:proofErr w:type="spellEnd"/>
            <w:r w:rsidR="00535DC6" w:rsidRPr="00535DC6">
              <w:rPr>
                <w:rFonts w:cs="Times New Roman"/>
              </w:rPr>
              <w:t xml:space="preserve"> осы </w:t>
            </w:r>
            <w:proofErr w:type="spellStart"/>
            <w:r w:rsidR="00535DC6" w:rsidRPr="00535DC6">
              <w:rPr>
                <w:rFonts w:cs="Times New Roman"/>
              </w:rPr>
              <w:t>Қағидаларға</w:t>
            </w:r>
            <w:proofErr w:type="spellEnd"/>
            <w:r w:rsidR="00535DC6" w:rsidRPr="00535DC6">
              <w:rPr>
                <w:rFonts w:cs="Times New Roman"/>
              </w:rPr>
              <w:t xml:space="preserve"> 2-қосымшаға </w:t>
            </w:r>
            <w:proofErr w:type="spellStart"/>
            <w:r w:rsidR="00535DC6" w:rsidRPr="00535DC6">
              <w:rPr>
                <w:rFonts w:cs="Times New Roman"/>
              </w:rPr>
              <w:t>сәйкес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нысандағы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баға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ұсынысы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жеке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заңды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тұлғаның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лицензиялау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рәсімі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арқылы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органдары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асыратын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қызметті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әрекеттерді</w:t>
            </w:r>
            <w:proofErr w:type="spellEnd"/>
            <w:r w:rsidR="00535DC6" w:rsidRPr="00535DC6">
              <w:rPr>
                <w:rFonts w:cs="Times New Roman"/>
              </w:rPr>
              <w:t xml:space="preserve"> (</w:t>
            </w:r>
            <w:proofErr w:type="spellStart"/>
            <w:r w:rsidR="00535DC6" w:rsidRPr="00535DC6">
              <w:rPr>
                <w:rFonts w:cs="Times New Roman"/>
              </w:rPr>
              <w:t>операцияларды</w:t>
            </w:r>
            <w:proofErr w:type="spellEnd"/>
            <w:r w:rsidR="00535DC6" w:rsidRPr="00535DC6">
              <w:rPr>
                <w:rFonts w:cs="Times New Roman"/>
              </w:rPr>
              <w:t xml:space="preserve">)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асыруға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құқықтарын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растайтын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; </w:t>
            </w:r>
            <w:r w:rsidRPr="002072FD">
              <w:rPr>
                <w:rFonts w:cs="Times New Roman"/>
              </w:rPr>
              <w:t>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lastRenderedPageBreak/>
              <w:t xml:space="preserve">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0867D939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CF2F29">
              <w:rPr>
                <w:rFonts w:cs="Times New Roman"/>
                <w:b/>
                <w:bCs/>
                <w:lang w:val="kk-KZ"/>
              </w:rPr>
              <w:t>634 308</w:t>
            </w:r>
            <w:r w:rsidR="00A06370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CF2F29">
              <w:rPr>
                <w:rFonts w:cs="Times New Roman"/>
                <w:lang w:val="kk-KZ"/>
              </w:rPr>
              <w:t>Шестьсот тридцать четыре тысячи триста восемь</w:t>
            </w:r>
            <w:r w:rsidRPr="002072FD">
              <w:rPr>
                <w:rFonts w:cs="Times New Roman"/>
              </w:rPr>
              <w:t>)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 xml:space="preserve">и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1F81AC9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807C23">
              <w:rPr>
                <w:rFonts w:cs="Times New Roman"/>
                <w:lang w:val="kk-KZ"/>
              </w:rPr>
              <w:t>04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807C23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1B696389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807C23">
              <w:rPr>
                <w:rFonts w:cs="Times New Roman"/>
                <w:lang w:val="kk-KZ"/>
              </w:rPr>
              <w:t>04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807C23">
              <w:rPr>
                <w:rFonts w:cs="Times New Roman"/>
                <w:lang w:val="kk-KZ"/>
              </w:rPr>
              <w:t>2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08642AFB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784ECE9F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      </w:r>
            <w:bookmarkStart w:id="0" w:name="z375"/>
          </w:p>
          <w:p w14:paraId="6D543397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</w:t>
            </w:r>
            <w:r w:rsidRPr="001E6429">
              <w:rPr>
                <w:rFonts w:cs="Times New Roman"/>
                <w:color w:val="000000"/>
              </w:rPr>
              <w:lastRenderedPageBreak/>
              <w:t>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      </w:r>
            <w:bookmarkStart w:id="1" w:name="z386"/>
            <w:bookmarkEnd w:id="0"/>
          </w:p>
          <w:p w14:paraId="13461032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предложение.</w:t>
            </w:r>
          </w:p>
          <w:p w14:paraId="01E81D11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При представлении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2442504" w14:textId="77777777" w:rsidR="001E6429" w:rsidRDefault="001E6429" w:rsidP="001E6429">
            <w:pPr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      </w:r>
            <w:bookmarkStart w:id="2" w:name="z384"/>
          </w:p>
          <w:p w14:paraId="6531F2EE" w14:textId="343B4EA0" w:rsidR="000B3CA5" w:rsidRPr="002072FD" w:rsidRDefault="000B3CA5" w:rsidP="001E6429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1"/>
          <w:bookmarkEnd w:id="2"/>
          <w:p w14:paraId="1373B35B" w14:textId="13050F37" w:rsidR="001E6429" w:rsidRPr="001E6429" w:rsidRDefault="001E6429" w:rsidP="001E6429">
            <w:pPr>
              <w:spacing w:line="276" w:lineRule="auto"/>
              <w:ind w:firstLine="708"/>
              <w:jc w:val="both"/>
              <w:rPr>
                <w:rFonts w:cs="Times New Roman"/>
                <w:b/>
                <w:color w:val="000000"/>
              </w:rPr>
            </w:pPr>
            <w:r w:rsidRPr="001E6429">
              <w:rPr>
                <w:rFonts w:cs="Times New Roman"/>
                <w:b/>
                <w:color w:val="000000"/>
              </w:rPr>
      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</w:t>
            </w:r>
            <w:r w:rsidR="00CF2F29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>подтверждающие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соответ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>-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ствие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>условиям, предусмотренных настоящими Правилами:</w:t>
            </w:r>
          </w:p>
          <w:p w14:paraId="1392B63B" w14:textId="4B9B55AC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3" w:name="z387"/>
            <w:r w:rsidRPr="002072FD">
              <w:rPr>
                <w:rFonts w:cs="Times New Roman"/>
                <w:color w:val="000000"/>
              </w:rPr>
              <w:t xml:space="preserve">1) </w:t>
            </w:r>
            <w:r w:rsidR="001E6429" w:rsidRPr="001E6429">
              <w:rPr>
                <w:rFonts w:cs="Times New Roman"/>
                <w:color w:val="000000"/>
              </w:rPr>
      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</w:t>
            </w:r>
            <w:r w:rsidR="001E6429" w:rsidRPr="001E6429">
              <w:rPr>
                <w:rFonts w:cs="Times New Roman"/>
                <w:color w:val="000000"/>
              </w:rPr>
              <w:lastRenderedPageBreak/>
              <w:t>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314F7E0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4" w:name="z388"/>
            <w:bookmarkEnd w:id="3"/>
            <w:r w:rsidRPr="002072FD">
              <w:rPr>
                <w:rFonts w:cs="Times New Roman"/>
                <w:color w:val="000000"/>
              </w:rPr>
              <w:t xml:space="preserve">2) </w:t>
            </w:r>
            <w:r w:rsidR="00902726" w:rsidRPr="00902726">
              <w:rPr>
                <w:rFonts w:cs="Times New Roman"/>
                <w:color w:val="000000"/>
              </w:rPr>
      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90"/>
            <w:r w:rsidRPr="002072FD">
              <w:rPr>
                <w:rFonts w:cs="Times New Roman"/>
                <w:color w:val="000000"/>
              </w:rPr>
      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6" w:name="z391"/>
            <w:bookmarkEnd w:id="5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2"/>
            <w:bookmarkEnd w:id="6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19B5CEC7" w:rsidR="000B3CA5" w:rsidRPr="002072FD" w:rsidRDefault="001D2BC2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4"/>
            <w:bookmarkEnd w:id="7"/>
            <w:r w:rsidRPr="001D2BC2">
              <w:rPr>
                <w:rFonts w:cs="Times New Roman"/>
                <w:color w:val="000000"/>
              </w:rPr>
              <w:t xml:space="preserve">При несоответствии победителя условиям настоящих Правил, закуп </w:t>
            </w:r>
            <w:r w:rsidRPr="001D2BC2">
              <w:rPr>
                <w:rFonts w:cs="Times New Roman"/>
                <w:color w:val="000000"/>
              </w:rPr>
              <w:lastRenderedPageBreak/>
              <w:t>способом ценовых предложений признается несостоявшимся</w:t>
            </w:r>
            <w:r w:rsidR="000B3CA5" w:rsidRPr="002072FD">
              <w:rPr>
                <w:rFonts w:cs="Times New Roman"/>
                <w:color w:val="000000"/>
              </w:rPr>
              <w:t>.</w:t>
            </w:r>
          </w:p>
          <w:bookmarkEnd w:id="8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9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4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 w:rsidSect="00BF4B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CB5"/>
    <w:multiLevelType w:val="hybridMultilevel"/>
    <w:tmpl w:val="F7C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1"/>
  </w:num>
  <w:num w:numId="2" w16cid:durableId="10574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234E4"/>
    <w:rsid w:val="00030AD5"/>
    <w:rsid w:val="00033149"/>
    <w:rsid w:val="00036C33"/>
    <w:rsid w:val="00040E2E"/>
    <w:rsid w:val="00045ABD"/>
    <w:rsid w:val="00052E99"/>
    <w:rsid w:val="0005463C"/>
    <w:rsid w:val="00066BD2"/>
    <w:rsid w:val="000852E7"/>
    <w:rsid w:val="000A3675"/>
    <w:rsid w:val="000A3AB3"/>
    <w:rsid w:val="000A7A9E"/>
    <w:rsid w:val="000B2898"/>
    <w:rsid w:val="000B3CA5"/>
    <w:rsid w:val="000C3F26"/>
    <w:rsid w:val="000D0347"/>
    <w:rsid w:val="000E50BB"/>
    <w:rsid w:val="000F076C"/>
    <w:rsid w:val="000F0E92"/>
    <w:rsid w:val="00105A6E"/>
    <w:rsid w:val="001061D0"/>
    <w:rsid w:val="00156AB7"/>
    <w:rsid w:val="001601D3"/>
    <w:rsid w:val="001614B5"/>
    <w:rsid w:val="0016265D"/>
    <w:rsid w:val="00162C01"/>
    <w:rsid w:val="00182814"/>
    <w:rsid w:val="001A095B"/>
    <w:rsid w:val="001A50C1"/>
    <w:rsid w:val="001B004D"/>
    <w:rsid w:val="001B11BC"/>
    <w:rsid w:val="001B1661"/>
    <w:rsid w:val="001B28A2"/>
    <w:rsid w:val="001D0211"/>
    <w:rsid w:val="001D2BC2"/>
    <w:rsid w:val="001D5D9B"/>
    <w:rsid w:val="001E6429"/>
    <w:rsid w:val="00200689"/>
    <w:rsid w:val="00201841"/>
    <w:rsid w:val="002158D6"/>
    <w:rsid w:val="00215B3D"/>
    <w:rsid w:val="002207FB"/>
    <w:rsid w:val="0024353D"/>
    <w:rsid w:val="002623D1"/>
    <w:rsid w:val="0027072E"/>
    <w:rsid w:val="00271FB5"/>
    <w:rsid w:val="00292B67"/>
    <w:rsid w:val="00292ED6"/>
    <w:rsid w:val="002E09BB"/>
    <w:rsid w:val="002F1E45"/>
    <w:rsid w:val="003033EF"/>
    <w:rsid w:val="0031246C"/>
    <w:rsid w:val="003245E2"/>
    <w:rsid w:val="00333AA5"/>
    <w:rsid w:val="00351667"/>
    <w:rsid w:val="00364703"/>
    <w:rsid w:val="00370834"/>
    <w:rsid w:val="003741A5"/>
    <w:rsid w:val="0037574A"/>
    <w:rsid w:val="003A1934"/>
    <w:rsid w:val="003A2D9D"/>
    <w:rsid w:val="003A3571"/>
    <w:rsid w:val="003A5948"/>
    <w:rsid w:val="003C1665"/>
    <w:rsid w:val="003E38FE"/>
    <w:rsid w:val="003E7176"/>
    <w:rsid w:val="003E77BF"/>
    <w:rsid w:val="003F3DF0"/>
    <w:rsid w:val="003F72A4"/>
    <w:rsid w:val="00432935"/>
    <w:rsid w:val="00450264"/>
    <w:rsid w:val="00462E66"/>
    <w:rsid w:val="00476685"/>
    <w:rsid w:val="00480F2E"/>
    <w:rsid w:val="00484959"/>
    <w:rsid w:val="004A2EA5"/>
    <w:rsid w:val="004A32D0"/>
    <w:rsid w:val="004A6E2F"/>
    <w:rsid w:val="004D2BE3"/>
    <w:rsid w:val="004D4DDB"/>
    <w:rsid w:val="005021CE"/>
    <w:rsid w:val="0050711E"/>
    <w:rsid w:val="00522D3C"/>
    <w:rsid w:val="00535DC6"/>
    <w:rsid w:val="005421F6"/>
    <w:rsid w:val="005546F4"/>
    <w:rsid w:val="00561394"/>
    <w:rsid w:val="005652CC"/>
    <w:rsid w:val="00575641"/>
    <w:rsid w:val="00590DDA"/>
    <w:rsid w:val="00591BAA"/>
    <w:rsid w:val="00592169"/>
    <w:rsid w:val="005D1573"/>
    <w:rsid w:val="00605451"/>
    <w:rsid w:val="00621C01"/>
    <w:rsid w:val="00630228"/>
    <w:rsid w:val="00630EE4"/>
    <w:rsid w:val="00634F86"/>
    <w:rsid w:val="00635B40"/>
    <w:rsid w:val="00647DB4"/>
    <w:rsid w:val="00696F75"/>
    <w:rsid w:val="006A4F08"/>
    <w:rsid w:val="006B5E43"/>
    <w:rsid w:val="006D69D2"/>
    <w:rsid w:val="00710A11"/>
    <w:rsid w:val="00712477"/>
    <w:rsid w:val="007334EE"/>
    <w:rsid w:val="00734DC7"/>
    <w:rsid w:val="007509EB"/>
    <w:rsid w:val="007765B8"/>
    <w:rsid w:val="00791529"/>
    <w:rsid w:val="007A4CC6"/>
    <w:rsid w:val="007C3747"/>
    <w:rsid w:val="007E3D0B"/>
    <w:rsid w:val="007E7544"/>
    <w:rsid w:val="007F50F9"/>
    <w:rsid w:val="007F70E1"/>
    <w:rsid w:val="00807C23"/>
    <w:rsid w:val="00817ADF"/>
    <w:rsid w:val="0084652F"/>
    <w:rsid w:val="008B05B0"/>
    <w:rsid w:val="008D2380"/>
    <w:rsid w:val="008D2C9E"/>
    <w:rsid w:val="008D586A"/>
    <w:rsid w:val="00902726"/>
    <w:rsid w:val="009171AC"/>
    <w:rsid w:val="00917E98"/>
    <w:rsid w:val="0092675C"/>
    <w:rsid w:val="009527A1"/>
    <w:rsid w:val="009563F5"/>
    <w:rsid w:val="00963B68"/>
    <w:rsid w:val="0098379C"/>
    <w:rsid w:val="009A73F7"/>
    <w:rsid w:val="009D1518"/>
    <w:rsid w:val="009E1566"/>
    <w:rsid w:val="009E7149"/>
    <w:rsid w:val="009F3283"/>
    <w:rsid w:val="00A06370"/>
    <w:rsid w:val="00A215E5"/>
    <w:rsid w:val="00A24125"/>
    <w:rsid w:val="00A34CE8"/>
    <w:rsid w:val="00A47C76"/>
    <w:rsid w:val="00A77BED"/>
    <w:rsid w:val="00A960B7"/>
    <w:rsid w:val="00AA0022"/>
    <w:rsid w:val="00AA09A6"/>
    <w:rsid w:val="00AA36B1"/>
    <w:rsid w:val="00AC0AE9"/>
    <w:rsid w:val="00AC7D94"/>
    <w:rsid w:val="00AD09F1"/>
    <w:rsid w:val="00AD4F90"/>
    <w:rsid w:val="00AF37DC"/>
    <w:rsid w:val="00B1127A"/>
    <w:rsid w:val="00B21163"/>
    <w:rsid w:val="00B22460"/>
    <w:rsid w:val="00B249F3"/>
    <w:rsid w:val="00B2540C"/>
    <w:rsid w:val="00B2762C"/>
    <w:rsid w:val="00B318C6"/>
    <w:rsid w:val="00B56F33"/>
    <w:rsid w:val="00B604F8"/>
    <w:rsid w:val="00B769B5"/>
    <w:rsid w:val="00B91768"/>
    <w:rsid w:val="00B9434F"/>
    <w:rsid w:val="00BA2797"/>
    <w:rsid w:val="00BB2A7E"/>
    <w:rsid w:val="00BB4BC4"/>
    <w:rsid w:val="00BD0E8D"/>
    <w:rsid w:val="00BD704F"/>
    <w:rsid w:val="00BE00B9"/>
    <w:rsid w:val="00BF4BF0"/>
    <w:rsid w:val="00C140A7"/>
    <w:rsid w:val="00C15C31"/>
    <w:rsid w:val="00C21C45"/>
    <w:rsid w:val="00C31FA0"/>
    <w:rsid w:val="00C46934"/>
    <w:rsid w:val="00C6195F"/>
    <w:rsid w:val="00C730F5"/>
    <w:rsid w:val="00CA061A"/>
    <w:rsid w:val="00CA6C5B"/>
    <w:rsid w:val="00CB6AF4"/>
    <w:rsid w:val="00CE3139"/>
    <w:rsid w:val="00CF2F29"/>
    <w:rsid w:val="00CF75AE"/>
    <w:rsid w:val="00CF7B41"/>
    <w:rsid w:val="00D120F6"/>
    <w:rsid w:val="00D23BD4"/>
    <w:rsid w:val="00D318D7"/>
    <w:rsid w:val="00D51CC7"/>
    <w:rsid w:val="00D537B0"/>
    <w:rsid w:val="00D56302"/>
    <w:rsid w:val="00D7132E"/>
    <w:rsid w:val="00D72305"/>
    <w:rsid w:val="00D77FC7"/>
    <w:rsid w:val="00D96782"/>
    <w:rsid w:val="00DA2F94"/>
    <w:rsid w:val="00DB1975"/>
    <w:rsid w:val="00DC5F9B"/>
    <w:rsid w:val="00DE1965"/>
    <w:rsid w:val="00DE2E04"/>
    <w:rsid w:val="00DE6802"/>
    <w:rsid w:val="00DF52C1"/>
    <w:rsid w:val="00E04DBD"/>
    <w:rsid w:val="00E370CA"/>
    <w:rsid w:val="00E50A70"/>
    <w:rsid w:val="00E71A17"/>
    <w:rsid w:val="00E8111A"/>
    <w:rsid w:val="00E940AA"/>
    <w:rsid w:val="00EB4C40"/>
    <w:rsid w:val="00EB50CD"/>
    <w:rsid w:val="00ED77AF"/>
    <w:rsid w:val="00EE0A46"/>
    <w:rsid w:val="00EF0A07"/>
    <w:rsid w:val="00F16124"/>
    <w:rsid w:val="00F22D0F"/>
    <w:rsid w:val="00F250D5"/>
    <w:rsid w:val="00F4234B"/>
    <w:rsid w:val="00F4769F"/>
    <w:rsid w:val="00F628D3"/>
    <w:rsid w:val="00F64E72"/>
    <w:rsid w:val="00F92598"/>
    <w:rsid w:val="00FA5B74"/>
    <w:rsid w:val="00FB5237"/>
    <w:rsid w:val="00FD5BF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5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200</cp:revision>
  <cp:lastPrinted>2023-01-06T06:10:00Z</cp:lastPrinted>
  <dcterms:created xsi:type="dcterms:W3CDTF">2023-01-05T05:21:00Z</dcterms:created>
  <dcterms:modified xsi:type="dcterms:W3CDTF">2023-11-28T10:00:00Z</dcterms:modified>
</cp:coreProperties>
</file>